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7A3B" w14:textId="77777777" w:rsidR="00572050" w:rsidRDefault="00000000">
      <w:pPr>
        <w:tabs>
          <w:tab w:val="left" w:pos="3540"/>
          <w:tab w:val="center" w:pos="10773"/>
        </w:tabs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ab/>
      </w:r>
      <w:r>
        <w:rPr>
          <w:rFonts w:eastAsia="標楷體"/>
          <w:b/>
          <w:sz w:val="32"/>
        </w:rPr>
        <w:tab/>
      </w:r>
      <w:r>
        <w:rPr>
          <w:rFonts w:eastAsia="標楷體"/>
          <w:b/>
          <w:sz w:val="32"/>
        </w:rPr>
        <w:t>容積率級距申請案件審議規範查核表</w:t>
      </w:r>
    </w:p>
    <w:tbl>
      <w:tblPr>
        <w:tblW w:w="21853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7307"/>
        <w:gridCol w:w="510"/>
        <w:gridCol w:w="510"/>
        <w:gridCol w:w="680"/>
        <w:gridCol w:w="1134"/>
        <w:gridCol w:w="685"/>
        <w:gridCol w:w="1437"/>
        <w:gridCol w:w="6047"/>
        <w:gridCol w:w="504"/>
        <w:gridCol w:w="500"/>
        <w:gridCol w:w="718"/>
        <w:gridCol w:w="1148"/>
      </w:tblGrid>
      <w:tr w:rsidR="00572050" w14:paraId="36BEF50F" w14:textId="77777777">
        <w:trPr>
          <w:cantSplit/>
          <w:trHeight w:val="737"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8F018" w14:textId="77777777" w:rsidR="00572050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案名</w:t>
            </w:r>
            <w:proofErr w:type="gramEnd"/>
          </w:p>
        </w:tc>
        <w:tc>
          <w:tcPr>
            <w:tcW w:w="10141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F8737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2E8D4" w14:textId="77777777" w:rsidR="00572050" w:rsidRDefault="00000000">
            <w:pPr>
              <w:snapToGrid w:val="0"/>
              <w:jc w:val="center"/>
            </w:pPr>
            <w:r>
              <w:rPr>
                <w:rFonts w:eastAsia="標楷體"/>
                <w:szCs w:val="24"/>
              </w:rPr>
              <w:t>基地所在都市計畫</w:t>
            </w:r>
          </w:p>
        </w:tc>
        <w:tc>
          <w:tcPr>
            <w:tcW w:w="8917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AC80F" w14:textId="77777777" w:rsidR="00572050" w:rsidRDefault="00000000">
            <w:pPr>
              <w:snapToGrid w:val="0"/>
              <w:jc w:val="both"/>
            </w:pPr>
            <w:r>
              <w:rPr>
                <w:rFonts w:eastAsia="標楷體"/>
                <w:kern w:val="0"/>
                <w:szCs w:val="24"/>
              </w:rPr>
              <w:t>發佈日期</w:t>
            </w:r>
            <w:r>
              <w:rPr>
                <w:rFonts w:eastAsia="標楷體"/>
                <w:szCs w:val="24"/>
              </w:rPr>
              <w:t>：</w:t>
            </w:r>
          </w:p>
          <w:p w14:paraId="1249DD64" w14:textId="77777777" w:rsidR="00572050" w:rsidRDefault="00000000">
            <w:pPr>
              <w:snapToGrid w:val="0"/>
              <w:jc w:val="both"/>
            </w:pPr>
            <w:r>
              <w:rPr>
                <w:rFonts w:eastAsia="標楷體"/>
                <w:spacing w:val="240"/>
                <w:kern w:val="0"/>
                <w:szCs w:val="24"/>
              </w:rPr>
              <w:t>案</w:t>
            </w:r>
            <w:r>
              <w:rPr>
                <w:rFonts w:eastAsia="標楷體"/>
                <w:spacing w:val="240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名</w:t>
            </w:r>
            <w:r>
              <w:rPr>
                <w:rFonts w:eastAsia="標楷體"/>
                <w:szCs w:val="24"/>
              </w:rPr>
              <w:t>：</w:t>
            </w:r>
          </w:p>
        </w:tc>
      </w:tr>
      <w:tr w:rsidR="00572050" w14:paraId="08EB028F" w14:textId="77777777">
        <w:trPr>
          <w:cantSplit/>
          <w:trHeight w:val="340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C0EF9" w14:textId="77777777" w:rsidR="00572050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條次</w:t>
            </w:r>
          </w:p>
        </w:tc>
        <w:tc>
          <w:tcPr>
            <w:tcW w:w="73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4E15" w14:textId="77777777" w:rsidR="00572050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條文內容</w:t>
            </w:r>
          </w:p>
        </w:tc>
        <w:tc>
          <w:tcPr>
            <w:tcW w:w="283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B5D7D" w14:textId="77777777" w:rsidR="00572050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檢核結果</w:t>
            </w:r>
          </w:p>
        </w:tc>
        <w:tc>
          <w:tcPr>
            <w:tcW w:w="6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E4094" w14:textId="77777777" w:rsidR="00572050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條次</w:t>
            </w:r>
          </w:p>
        </w:tc>
        <w:tc>
          <w:tcPr>
            <w:tcW w:w="74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04223" w14:textId="77777777" w:rsidR="00572050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條文內容</w:t>
            </w:r>
          </w:p>
        </w:tc>
        <w:tc>
          <w:tcPr>
            <w:tcW w:w="287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6006B" w14:textId="77777777" w:rsidR="00572050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檢核結果</w:t>
            </w:r>
          </w:p>
        </w:tc>
      </w:tr>
      <w:tr w:rsidR="00572050" w14:paraId="23BCD260" w14:textId="77777777">
        <w:trPr>
          <w:cantSplit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DDAD4" w14:textId="77777777" w:rsidR="00572050" w:rsidRDefault="0057205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0B74F" w14:textId="77777777" w:rsidR="00572050" w:rsidRDefault="0057205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FF54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42B1C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不</w:t>
            </w:r>
          </w:p>
          <w:p w14:paraId="1CC692BD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0DAB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參照</w:t>
            </w:r>
          </w:p>
          <w:p w14:paraId="2F3104A8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頁次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C68F7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備註</w:t>
            </w:r>
          </w:p>
        </w:tc>
        <w:tc>
          <w:tcPr>
            <w:tcW w:w="6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38D97" w14:textId="77777777" w:rsidR="00572050" w:rsidRDefault="0057205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BCD18" w14:textId="77777777" w:rsidR="00572050" w:rsidRDefault="0057205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7F97E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B4692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不</w:t>
            </w:r>
          </w:p>
          <w:p w14:paraId="22BF02D1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BD31D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參照</w:t>
            </w:r>
          </w:p>
          <w:p w14:paraId="503EB914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頁次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F214A" w14:textId="77777777" w:rsidR="00572050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備註</w:t>
            </w:r>
          </w:p>
        </w:tc>
      </w:tr>
      <w:tr w:rsidR="00572050" w14:paraId="5FD75DBA" w14:textId="77777777">
        <w:trPr>
          <w:cantSplit/>
          <w:trHeight w:val="1880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F7316" w14:textId="77777777" w:rsidR="00572050" w:rsidRDefault="00000000">
            <w:pPr>
              <w:suppressAutoHyphens w:val="0"/>
              <w:snapToGrid w:val="0"/>
              <w:spacing w:after="210"/>
              <w:jc w:val="center"/>
              <w:textAlignment w:val="auto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ECE0A" w14:textId="77777777" w:rsidR="00572050" w:rsidRDefault="00000000">
            <w:pPr>
              <w:snapToGrid w:val="0"/>
              <w:spacing w:after="126"/>
              <w:ind w:left="616" w:hanging="61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（一）申請基地符合前述街廓適用範圍及基地條件者，其容積率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級距得申請</w:t>
            </w:r>
            <w:proofErr w:type="gramEnd"/>
            <w:r>
              <w:rPr>
                <w:rFonts w:ascii="標楷體" w:eastAsia="標楷體" w:hAnsi="標楷體"/>
                <w:sz w:val="20"/>
              </w:rPr>
              <w:t>變更範圍如下：</w:t>
            </w:r>
          </w:p>
          <w:tbl>
            <w:tblPr>
              <w:tblW w:w="5410" w:type="dxa"/>
              <w:tblInd w:w="9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17"/>
              <w:gridCol w:w="1383"/>
              <w:gridCol w:w="2410"/>
            </w:tblGrid>
            <w:tr w:rsidR="00572050" w14:paraId="1AF396F0" w14:textId="77777777"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30E35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</w:rPr>
                    <w:t>使用分區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4C00D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b/>
                      <w:sz w:val="20"/>
                    </w:rPr>
                    <w:t>臨路寬度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C8806D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</w:rPr>
                    <w:t>得申請變更適用容積率</w:t>
                  </w:r>
                </w:p>
              </w:tc>
            </w:tr>
            <w:tr w:rsidR="00572050" w14:paraId="5B697F79" w14:textId="77777777">
              <w:trPr>
                <w:trHeight w:val="70"/>
              </w:trPr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237A7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商業區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DB991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30M、40M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4B67B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420%</w:t>
                  </w:r>
                </w:p>
              </w:tc>
            </w:tr>
            <w:tr w:rsidR="00572050" w14:paraId="6C9ED1C9" w14:textId="77777777">
              <w:tc>
                <w:tcPr>
                  <w:tcW w:w="16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C2948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住宅區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8B7AC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40M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B3FE4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400%</w:t>
                  </w:r>
                </w:p>
              </w:tc>
            </w:tr>
            <w:tr w:rsidR="00572050" w14:paraId="5D3C6A56" w14:textId="77777777">
              <w:tc>
                <w:tcPr>
                  <w:tcW w:w="16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3028F" w14:textId="77777777" w:rsidR="00572050" w:rsidRDefault="0057205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5E936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30M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09E79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300%</w:t>
                  </w:r>
                </w:p>
              </w:tc>
            </w:tr>
          </w:tbl>
          <w:p w14:paraId="71C85209" w14:textId="77777777" w:rsidR="00572050" w:rsidRDefault="00572050">
            <w:pPr>
              <w:suppressAutoHyphens w:val="0"/>
              <w:snapToGrid w:val="0"/>
              <w:ind w:left="149" w:firstLine="1"/>
              <w:jc w:val="both"/>
              <w:textAlignment w:val="auto"/>
              <w:rPr>
                <w:rFonts w:ascii="DFKaiShu-SB-Estd-BF" w:eastAsia="DFKaiShu-SB-Estd-BF" w:hAnsi="DFKaiShu-SB-Estd-BF" w:cs="DFKaiShu-SB-Estd-BF"/>
                <w:kern w:val="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01995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23BC6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C022E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C843C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F6B9" w14:textId="77777777" w:rsidR="00572050" w:rsidRDefault="00572050">
            <w:pPr>
              <w:snapToGrid w:val="0"/>
              <w:spacing w:after="210"/>
              <w:jc w:val="center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10354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AD3AE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72050" w14:paraId="455FF117" w14:textId="77777777">
        <w:trPr>
          <w:cantSplit/>
          <w:trHeight w:val="523"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38627" w14:textId="77777777" w:rsidR="00572050" w:rsidRDefault="00572050">
            <w:pPr>
              <w:suppressAutoHyphens w:val="0"/>
              <w:snapToGrid w:val="0"/>
              <w:spacing w:after="210"/>
              <w:jc w:val="center"/>
              <w:textAlignment w:val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E815A" w14:textId="77777777" w:rsidR="00572050" w:rsidRDefault="00000000">
            <w:pPr>
              <w:snapToGrid w:val="0"/>
              <w:ind w:left="602" w:hanging="60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（二）申請基地建蔽率不得超過40％。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524D9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379CB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41605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9D46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77001" w14:textId="77777777" w:rsidR="00572050" w:rsidRDefault="00572050">
            <w:pPr>
              <w:suppressAutoHyphens w:val="0"/>
              <w:snapToGrid w:val="0"/>
              <w:spacing w:after="210"/>
              <w:jc w:val="center"/>
              <w:textAlignment w:val="auto"/>
              <w:rPr>
                <w:rFonts w:eastAsia="標楷體"/>
                <w:b/>
                <w:sz w:val="20"/>
              </w:rPr>
            </w:pPr>
          </w:p>
        </w:tc>
        <w:tc>
          <w:tcPr>
            <w:tcW w:w="10354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0AD95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72050" w14:paraId="70B0615A" w14:textId="77777777">
        <w:trPr>
          <w:cantSplit/>
          <w:trHeight w:val="991"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0CF88" w14:textId="77777777" w:rsidR="00572050" w:rsidRDefault="00572050">
            <w:pPr>
              <w:suppressAutoHyphens w:val="0"/>
              <w:snapToGrid w:val="0"/>
              <w:spacing w:after="210"/>
              <w:jc w:val="center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65584" w14:textId="77777777" w:rsidR="00572050" w:rsidRDefault="00000000">
            <w:pPr>
              <w:snapToGrid w:val="0"/>
              <w:ind w:left="602" w:hanging="60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（三）相關容積獎勵及容積移轉適用不得超過變更後容積率之50％，其中容積移轉適用仍需符合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</w:rPr>
              <w:t>南市中西區等5處地區細部計畫及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</w:rPr>
              <w:t>南市政府都市計畫容積移轉許可要點之規定。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BA33C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21F6B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37EB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A0983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BC9F2" w14:textId="77777777" w:rsidR="00572050" w:rsidRDefault="00572050">
            <w:pPr>
              <w:suppressAutoHyphens w:val="0"/>
              <w:snapToGrid w:val="0"/>
              <w:spacing w:after="210"/>
              <w:jc w:val="center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54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1D36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72050" w14:paraId="0A3E31BF" w14:textId="77777777">
        <w:trPr>
          <w:cantSplit/>
          <w:trHeight w:val="691"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3B780" w14:textId="77777777" w:rsidR="00572050" w:rsidRDefault="00572050">
            <w:pPr>
              <w:suppressAutoHyphens w:val="0"/>
              <w:snapToGrid w:val="0"/>
              <w:spacing w:after="210"/>
              <w:jc w:val="center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38270" w14:textId="77777777" w:rsidR="00572050" w:rsidRDefault="00000000">
            <w:pPr>
              <w:tabs>
                <w:tab w:val="left" w:pos="846"/>
              </w:tabs>
              <w:snapToGrid w:val="0"/>
              <w:ind w:left="616" w:hanging="61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（四）申請基地如分屬不同分區，得合併計算，並視申請範圍內住宅區、商業區面積分別試算回饋比例。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FF3D5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9F0A4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1C19D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5C15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26660" w14:textId="77777777" w:rsidR="00572050" w:rsidRDefault="00572050">
            <w:pPr>
              <w:suppressAutoHyphens w:val="0"/>
              <w:snapToGrid w:val="0"/>
              <w:spacing w:after="210"/>
              <w:jc w:val="center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54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E4086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72050" w14:paraId="207C5C10" w14:textId="77777777">
        <w:trPr>
          <w:cantSplit/>
          <w:trHeight w:val="99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7106E" w14:textId="77777777" w:rsidR="00572050" w:rsidRDefault="00000000">
            <w:pPr>
              <w:suppressAutoHyphens w:val="0"/>
              <w:snapToGrid w:val="0"/>
              <w:spacing w:after="21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二</w:t>
            </w:r>
          </w:p>
        </w:tc>
        <w:tc>
          <w:tcPr>
            <w:tcW w:w="7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0D9A" w14:textId="77777777" w:rsidR="00572050" w:rsidRDefault="00000000">
            <w:pPr>
              <w:snapToGrid w:val="0"/>
              <w:ind w:left="630" w:hanging="63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（一）申請基地應自較寬道路境界線退縮8公尺建築，該退縮建築空間應至少留設1.5公尺以上</w:t>
            </w:r>
            <w:proofErr w:type="gramStart"/>
            <w:r>
              <w:rPr>
                <w:rFonts w:ascii="標楷體" w:eastAsia="標楷體" w:hAnsi="標楷體"/>
                <w:sz w:val="20"/>
              </w:rPr>
              <w:t>植栽帶及</w:t>
            </w:r>
            <w:proofErr w:type="gramEnd"/>
            <w:r>
              <w:rPr>
                <w:rFonts w:ascii="標楷體" w:eastAsia="標楷體" w:hAnsi="標楷體"/>
                <w:sz w:val="20"/>
              </w:rPr>
              <w:t>2.5公尺以上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無遮簷人</w:t>
            </w:r>
            <w:proofErr w:type="gramEnd"/>
            <w:r>
              <w:rPr>
                <w:rFonts w:ascii="標楷體" w:eastAsia="標楷體" w:hAnsi="標楷體"/>
                <w:sz w:val="20"/>
              </w:rPr>
              <w:t>行步道；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此外，</w:t>
            </w:r>
            <w:proofErr w:type="gramEnd"/>
            <w:r>
              <w:rPr>
                <w:rFonts w:ascii="標楷體" w:eastAsia="標楷體" w:hAnsi="標楷體"/>
                <w:sz w:val="20"/>
              </w:rPr>
              <w:t>商業區應自基地境界線退縮至少4公尺建築，住宅區應自基地境界線退縮至少2公尺建築。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C84EB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3F926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9EF1D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6E9E1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71503" w14:textId="77777777" w:rsidR="00572050" w:rsidRDefault="00572050">
            <w:pPr>
              <w:suppressAutoHyphens w:val="0"/>
              <w:snapToGrid w:val="0"/>
              <w:spacing w:after="210"/>
              <w:jc w:val="center"/>
              <w:textAlignment w:val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0354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DD760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72050" w14:paraId="7D14505A" w14:textId="77777777">
        <w:trPr>
          <w:cantSplit/>
          <w:trHeight w:val="1988"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491A6" w14:textId="77777777" w:rsidR="00572050" w:rsidRDefault="00572050">
            <w:pPr>
              <w:snapToGrid w:val="0"/>
              <w:spacing w:after="210"/>
              <w:jc w:val="center"/>
              <w:textAlignment w:val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48438" w14:textId="77777777" w:rsidR="00572050" w:rsidRDefault="00000000">
            <w:pPr>
              <w:snapToGrid w:val="0"/>
              <w:spacing w:after="126"/>
              <w:ind w:left="638" w:hanging="63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（二）本審議規範適用之申請基地，應視其容積提升幅度，依下表規定辦理：</w:t>
            </w:r>
          </w:p>
          <w:tbl>
            <w:tblPr>
              <w:tblW w:w="6574" w:type="dxa"/>
              <w:tblInd w:w="65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21"/>
              <w:gridCol w:w="4253"/>
            </w:tblGrid>
            <w:tr w:rsidR="00572050" w14:paraId="3D70B5FF" w14:textId="77777777">
              <w:trPr>
                <w:trHeight w:val="255"/>
              </w:trPr>
              <w:tc>
                <w:tcPr>
                  <w:tcW w:w="2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115EF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</w:rPr>
                    <w:t>容積提升幅度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35781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</w:rPr>
                    <w:t>規定事項</w:t>
                  </w:r>
                </w:p>
              </w:tc>
            </w:tr>
            <w:tr w:rsidR="00572050" w14:paraId="72EB66C9" w14:textId="77777777">
              <w:trPr>
                <w:trHeight w:val="510"/>
              </w:trPr>
              <w:tc>
                <w:tcPr>
                  <w:tcW w:w="2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2D214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120%</w:t>
                  </w:r>
                  <w:proofErr w:type="gramStart"/>
                  <w:r>
                    <w:rPr>
                      <w:rFonts w:ascii="標楷體" w:eastAsia="標楷體" w:hAnsi="標楷體"/>
                      <w:sz w:val="20"/>
                    </w:rPr>
                    <w:t>≧</w:t>
                  </w:r>
                  <w:proofErr w:type="gramEnd"/>
                  <w:r>
                    <w:rPr>
                      <w:rFonts w:ascii="標楷體" w:eastAsia="標楷體" w:hAnsi="標楷體"/>
                      <w:sz w:val="20"/>
                    </w:rPr>
                    <w:t>（F1-F2）</w:t>
                  </w:r>
                  <w:proofErr w:type="gramStart"/>
                  <w:r>
                    <w:rPr>
                      <w:rFonts w:ascii="標楷體" w:eastAsia="標楷體" w:hAnsi="標楷體"/>
                      <w:sz w:val="20"/>
                    </w:rPr>
                    <w:t>≧</w:t>
                  </w:r>
                  <w:proofErr w:type="gramEnd"/>
                  <w:r>
                    <w:rPr>
                      <w:rFonts w:ascii="標楷體" w:eastAsia="標楷體" w:hAnsi="標楷體"/>
                      <w:sz w:val="20"/>
                    </w:rPr>
                    <w:t>60%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205F6" w14:textId="77777777" w:rsidR="00572050" w:rsidRDefault="00000000">
                  <w:pPr>
                    <w:autoSpaceDE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應開放基地內部分空地供公眾休憩使用，其設置面積應大於法定空地面積之20%。</w:t>
                  </w:r>
                </w:p>
              </w:tc>
            </w:tr>
            <w:tr w:rsidR="00572050" w14:paraId="17EB9234" w14:textId="77777777">
              <w:trPr>
                <w:trHeight w:val="525"/>
              </w:trPr>
              <w:tc>
                <w:tcPr>
                  <w:tcW w:w="2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3249B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（F1-F2）&gt;120%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30243F" w14:textId="77777777" w:rsidR="00572050" w:rsidRDefault="00000000">
                  <w:pPr>
                    <w:autoSpaceDE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應開放基地內部分空地供公眾休憩使用，其設置面積應大於法定空地面積之35%。</w:t>
                  </w:r>
                </w:p>
              </w:tc>
            </w:tr>
          </w:tbl>
          <w:p w14:paraId="43549E8C" w14:textId="77777777" w:rsidR="00572050" w:rsidRDefault="00572050">
            <w:pPr>
              <w:snapToGrid w:val="0"/>
              <w:ind w:left="560" w:hanging="56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3298B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D7451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41174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E7AA9" w14:textId="77777777" w:rsidR="00572050" w:rsidRDefault="00572050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49857" w14:textId="77777777" w:rsidR="00572050" w:rsidRDefault="00572050">
            <w:pPr>
              <w:suppressAutoHyphens w:val="0"/>
              <w:snapToGrid w:val="0"/>
              <w:spacing w:after="210"/>
              <w:jc w:val="center"/>
              <w:textAlignment w:val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0354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E724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72050" w14:paraId="70BD80F8" w14:textId="77777777">
        <w:trPr>
          <w:cantSplit/>
          <w:trHeight w:val="803"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B8BB4" w14:textId="77777777" w:rsidR="00572050" w:rsidRDefault="00572050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B275F" w14:textId="77777777" w:rsidR="00572050" w:rsidRDefault="00000000">
            <w:pPr>
              <w:snapToGrid w:val="0"/>
              <w:ind w:left="670" w:hanging="6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（三）本審議規範適用範圍之建築基地其綠覆率應達60％以上，且法定空地每滿100平方公尺應至少栽植1棵喬木，以綠美化環境。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23D15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E12BD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1BAC5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6F6CC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6EB25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354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7A7CE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72050" w14:paraId="225580FB" w14:textId="77777777">
        <w:trPr>
          <w:cantSplit/>
          <w:trHeight w:val="2811"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9A31B" w14:textId="77777777" w:rsidR="00572050" w:rsidRDefault="00572050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303C5" w14:textId="77777777" w:rsidR="00572050" w:rsidRDefault="00000000">
            <w:pPr>
              <w:snapToGrid w:val="0"/>
              <w:spacing w:after="126"/>
              <w:ind w:left="670" w:hanging="6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（四）本審議規範適用範圍之申請基地，應視其提高後容積率，依下表規定辦理：</w:t>
            </w:r>
          </w:p>
          <w:tbl>
            <w:tblPr>
              <w:tblW w:w="4547" w:type="pct"/>
              <w:tblInd w:w="6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3"/>
              <w:gridCol w:w="5052"/>
            </w:tblGrid>
            <w:tr w:rsidR="00572050" w14:paraId="23387787" w14:textId="77777777">
              <w:trPr>
                <w:trHeight w:val="240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7488EA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</w:rPr>
                    <w:t>提高後容積率</w:t>
                  </w:r>
                </w:p>
              </w:tc>
              <w:tc>
                <w:tcPr>
                  <w:tcW w:w="5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54582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</w:rPr>
                    <w:t>規定事項</w:t>
                  </w:r>
                </w:p>
              </w:tc>
            </w:tr>
            <w:tr w:rsidR="00572050" w14:paraId="027C812E" w14:textId="77777777">
              <w:trPr>
                <w:trHeight w:val="736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E2DB7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400%&gt;F1≧300%</w:t>
                  </w:r>
                </w:p>
              </w:tc>
              <w:tc>
                <w:tcPr>
                  <w:tcW w:w="5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3C9DBE" w14:textId="77777777" w:rsidR="00572050" w:rsidRDefault="00000000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應依「綠建築分級評估制度」檢討其綠建築得分，並達合格級以上之得分標準，且須於申請建造執照</w:t>
                  </w:r>
                  <w:proofErr w:type="gramStart"/>
                  <w:r>
                    <w:rPr>
                      <w:rFonts w:ascii="標楷體" w:eastAsia="標楷體" w:hAnsi="標楷體"/>
                      <w:sz w:val="20"/>
                    </w:rPr>
                    <w:t>時檢附該綠</w:t>
                  </w:r>
                  <w:proofErr w:type="gramEnd"/>
                  <w:r>
                    <w:rPr>
                      <w:rFonts w:ascii="標楷體" w:eastAsia="標楷體" w:hAnsi="標楷體"/>
                      <w:sz w:val="20"/>
                    </w:rPr>
                    <w:t>建築分級評估表簽證入內，以供建管單位查核。</w:t>
                  </w:r>
                </w:p>
              </w:tc>
            </w:tr>
            <w:tr w:rsidR="00572050" w14:paraId="764134DC" w14:textId="77777777">
              <w:trPr>
                <w:trHeight w:val="736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47EA0" w14:textId="77777777" w:rsidR="00572050" w:rsidRDefault="00000000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F1≧400%</w:t>
                  </w:r>
                </w:p>
              </w:tc>
              <w:tc>
                <w:tcPr>
                  <w:tcW w:w="5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AB3D0" w14:textId="77777777" w:rsidR="00572050" w:rsidRDefault="00000000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應依「綠建築分級評估制度」檢討其綠建築得分，並</w:t>
                  </w:r>
                  <w:proofErr w:type="gramStart"/>
                  <w:r>
                    <w:rPr>
                      <w:rFonts w:ascii="標楷體" w:eastAsia="標楷體" w:hAnsi="標楷體"/>
                      <w:sz w:val="20"/>
                    </w:rPr>
                    <w:t>達銅級</w:t>
                  </w:r>
                  <w:proofErr w:type="gramEnd"/>
                  <w:r>
                    <w:rPr>
                      <w:rFonts w:ascii="標楷體" w:eastAsia="標楷體" w:hAnsi="標楷體"/>
                      <w:sz w:val="20"/>
                    </w:rPr>
                    <w:t>以上之得分標準，且須於申請建造執照</w:t>
                  </w:r>
                  <w:proofErr w:type="gramStart"/>
                  <w:r>
                    <w:rPr>
                      <w:rFonts w:ascii="標楷體" w:eastAsia="標楷體" w:hAnsi="標楷體"/>
                      <w:sz w:val="20"/>
                    </w:rPr>
                    <w:t>時檢附該綠</w:t>
                  </w:r>
                  <w:proofErr w:type="gramEnd"/>
                  <w:r>
                    <w:rPr>
                      <w:rFonts w:ascii="標楷體" w:eastAsia="標楷體" w:hAnsi="標楷體"/>
                      <w:sz w:val="20"/>
                    </w:rPr>
                    <w:t>建築分級評估表簽證入內，以供建管單位查核。</w:t>
                  </w:r>
                </w:p>
              </w:tc>
            </w:tr>
          </w:tbl>
          <w:p w14:paraId="3E95D754" w14:textId="77777777" w:rsidR="00572050" w:rsidRDefault="00572050">
            <w:pPr>
              <w:snapToGrid w:val="0"/>
              <w:ind w:left="55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291A7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A68DD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5E524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45D68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05BFE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354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5C077" w14:textId="77777777" w:rsidR="00572050" w:rsidRDefault="00572050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</w:tbl>
    <w:p w14:paraId="4541D874" w14:textId="77777777" w:rsidR="00572050" w:rsidRDefault="00572050">
      <w:pPr>
        <w:snapToGrid w:val="0"/>
        <w:jc w:val="both"/>
        <w:rPr>
          <w:rFonts w:ascii="標楷體" w:eastAsia="標楷體" w:hAnsi="標楷體"/>
        </w:rPr>
      </w:pPr>
    </w:p>
    <w:sectPr w:rsidR="00572050">
      <w:headerReference w:type="default" r:id="rId6"/>
      <w:pgSz w:w="23814" w:h="16840" w:orient="landscape"/>
      <w:pgMar w:top="1134" w:right="1134" w:bottom="1134" w:left="1134" w:header="850" w:footer="851" w:gutter="0"/>
      <w:cols w:space="720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831B" w14:textId="77777777" w:rsidR="00E5551C" w:rsidRDefault="00E5551C">
      <w:r>
        <w:separator/>
      </w:r>
    </w:p>
  </w:endnote>
  <w:endnote w:type="continuationSeparator" w:id="0">
    <w:p w14:paraId="4FC0B7C5" w14:textId="77777777" w:rsidR="00E5551C" w:rsidRDefault="00E5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64E4" w14:textId="77777777" w:rsidR="00E5551C" w:rsidRDefault="00E5551C">
      <w:r>
        <w:rPr>
          <w:color w:val="000000"/>
        </w:rPr>
        <w:separator/>
      </w:r>
    </w:p>
  </w:footnote>
  <w:footnote w:type="continuationSeparator" w:id="0">
    <w:p w14:paraId="23E6F2A5" w14:textId="77777777" w:rsidR="00E5551C" w:rsidRDefault="00E5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EA67" w14:textId="796BC25B" w:rsidR="0065766B" w:rsidRDefault="0092459E">
    <w:pPr>
      <w:pStyle w:val="a6"/>
      <w:jc w:val="right"/>
      <w:rPr>
        <w:rFonts w:hint="eastAsia"/>
      </w:rPr>
    </w:pPr>
    <w:r w:rsidRPr="0070587F">
      <w:rPr>
        <w:rFonts w:ascii="標楷體" w:eastAsia="標楷體" w:hAnsi="標楷體" w:hint="eastAsia"/>
      </w:rPr>
      <w:t>1</w:t>
    </w:r>
    <w:r>
      <w:rPr>
        <w:rFonts w:ascii="標楷體" w:eastAsia="標楷體" w:hAnsi="標楷體" w:hint="eastAsia"/>
      </w:rPr>
      <w:t>12.12</w:t>
    </w:r>
    <w:r>
      <w:rPr>
        <w:rFonts w:ascii="標楷體" w:eastAsia="標楷體" w:hAnsi="標楷體" w:hint="eastAsia"/>
      </w:rPr>
      <w:t>訂定</w: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C388E" wp14:editId="38E2747B">
              <wp:simplePos x="0" y="0"/>
              <wp:positionH relativeFrom="column">
                <wp:posOffset>31747</wp:posOffset>
              </wp:positionH>
              <wp:positionV relativeFrom="paragraph">
                <wp:posOffset>-130173</wp:posOffset>
              </wp:positionV>
              <wp:extent cx="784226" cy="281306"/>
              <wp:effectExtent l="0" t="0" r="15874" b="23494"/>
              <wp:wrapNone/>
              <wp:docPr id="17479233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226" cy="2813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629B64CE" w14:textId="77777777" w:rsidR="0065766B" w:rsidRDefault="00000000">
                          <w:pPr>
                            <w:spacing w:line="240" w:lineRule="exact"/>
                          </w:pPr>
                          <w:r>
                            <w:rPr>
                              <w:rFonts w:eastAsia="標楷體"/>
                              <w:sz w:val="28"/>
                            </w:rPr>
                            <w:t>附表七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C38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5pt;margin-top:-10.25pt;width:61.75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" strokeweight=".26467mm">
              <v:textbox>
                <w:txbxContent>
                  <w:p w14:paraId="629B64CE" w14:textId="77777777" w:rsidR="0065766B" w:rsidRDefault="00000000">
                    <w:pPr>
                      <w:spacing w:line="240" w:lineRule="exact"/>
                    </w:pPr>
                    <w:r>
                      <w:rPr>
                        <w:rFonts w:eastAsia="標楷體"/>
                        <w:sz w:val="28"/>
                      </w:rPr>
                      <w:t>附表七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50"/>
    <w:rsid w:val="00572050"/>
    <w:rsid w:val="005E54C8"/>
    <w:rsid w:val="0065766B"/>
    <w:rsid w:val="006E6071"/>
    <w:rsid w:val="0092459E"/>
    <w:rsid w:val="00E07457"/>
    <w:rsid w:val="00E142D1"/>
    <w:rsid w:val="00E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0EAD4"/>
  <w15:docId w15:val="{5F98392C-4C07-471F-8E66-4E56E0F4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3"/>
    <w:pPr>
      <w:wordWrap w:val="0"/>
      <w:overflowPunct w:val="0"/>
      <w:autoSpaceDE w:val="0"/>
      <w:spacing w:before="120" w:line="360" w:lineRule="exact"/>
      <w:ind w:left="1247" w:hanging="1134"/>
      <w:jc w:val="both"/>
    </w:pPr>
    <w:rPr>
      <w:rFonts w:ascii="標楷體" w:eastAsia="標楷體" w:hAnsi="標楷體"/>
      <w:sz w:val="28"/>
    </w:rPr>
  </w:style>
  <w:style w:type="paragraph" w:styleId="a3">
    <w:name w:val="Body Text Indent"/>
    <w:basedOn w:val="a"/>
    <w:pPr>
      <w:spacing w:after="120"/>
      <w:ind w:left="480"/>
    </w:pPr>
  </w:style>
  <w:style w:type="paragraph" w:styleId="2">
    <w:name w:val="Body Text Indent 2"/>
    <w:basedOn w:val="a"/>
    <w:pPr>
      <w:spacing w:line="340" w:lineRule="exact"/>
      <w:ind w:left="1412" w:hanging="480"/>
    </w:pPr>
    <w:rPr>
      <w:rFonts w:ascii="標楷體" w:eastAsia="標楷體" w:hAnsi="標楷體"/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"/>
    <w:pPr>
      <w:spacing w:line="340" w:lineRule="exact"/>
      <w:jc w:val="both"/>
    </w:pPr>
    <w:rPr>
      <w:rFonts w:ascii="標楷體" w:eastAsia="標楷體" w:hAnsi="標楷體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9">
    <w:name w:val="本文縮排 字元"/>
    <w:basedOn w:val="a0"/>
    <w:rPr>
      <w:rFonts w:eastAsia="新細明體"/>
      <w:kern w:val="3"/>
      <w:sz w:val="24"/>
      <w:lang w:val="en-US" w:eastAsia="zh-TW" w:bidi="ar-SA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都市設計審議幹事會書件查核表</dc:title>
  <dc:creator>台南市政府</dc:creator>
  <cp:lastModifiedBy>都發局</cp:lastModifiedBy>
  <cp:revision>4</cp:revision>
  <cp:lastPrinted>2022-11-08T03:23:00Z</cp:lastPrinted>
  <dcterms:created xsi:type="dcterms:W3CDTF">2023-11-23T06:09:00Z</dcterms:created>
  <dcterms:modified xsi:type="dcterms:W3CDTF">2023-11-23T07:02:00Z</dcterms:modified>
</cp:coreProperties>
</file>